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C397" w14:textId="22CC7673" w:rsidR="009E7005" w:rsidRPr="008E24F0" w:rsidRDefault="00E23C11" w:rsidP="002929FF">
      <w:pPr>
        <w:spacing w:after="0" w:line="480" w:lineRule="auto"/>
        <w:jc w:val="left"/>
        <w:rPr>
          <w:rFonts w:ascii="Helvetica" w:hAnsi="Helvetica" w:cs="Helvetica"/>
          <w:b/>
          <w:bCs/>
          <w:sz w:val="24"/>
          <w:szCs w:val="24"/>
        </w:rPr>
      </w:pPr>
      <w:r w:rsidRPr="008E24F0">
        <w:rPr>
          <w:rFonts w:ascii="Helvetica" w:hAnsi="Helvetica" w:cs="Helvetica"/>
          <w:b/>
          <w:bCs/>
          <w:sz w:val="24"/>
          <w:szCs w:val="24"/>
        </w:rPr>
        <w:t xml:space="preserve">An open-label, single-arm, phase </w:t>
      </w:r>
      <w:r w:rsidR="004F04B1" w:rsidRPr="008E24F0">
        <w:rPr>
          <w:rFonts w:ascii="Helvetica" w:hAnsi="Helvetica" w:cs="Helvetica"/>
          <w:b/>
          <w:bCs/>
          <w:sz w:val="24"/>
          <w:szCs w:val="24"/>
        </w:rPr>
        <w:t>I</w:t>
      </w:r>
      <w:r w:rsidRPr="008E24F0">
        <w:rPr>
          <w:rFonts w:ascii="Helvetica" w:hAnsi="Helvetica" w:cs="Helvetica"/>
          <w:b/>
          <w:bCs/>
          <w:sz w:val="24"/>
          <w:szCs w:val="24"/>
        </w:rPr>
        <w:t xml:space="preserve"> study to assess </w:t>
      </w:r>
      <w:r w:rsidR="004F04B1" w:rsidRPr="008E24F0">
        <w:rPr>
          <w:rFonts w:ascii="Helvetica" w:hAnsi="Helvetica" w:cs="Helvetica"/>
          <w:b/>
          <w:bCs/>
          <w:sz w:val="24"/>
          <w:szCs w:val="24"/>
        </w:rPr>
        <w:t xml:space="preserve">the </w:t>
      </w:r>
      <w:r w:rsidRPr="008E24F0">
        <w:rPr>
          <w:rFonts w:ascii="Helvetica" w:hAnsi="Helvetica" w:cs="Helvetica"/>
          <w:b/>
          <w:bCs/>
          <w:sz w:val="24"/>
          <w:szCs w:val="24"/>
        </w:rPr>
        <w:t>safety</w:t>
      </w:r>
      <w:r w:rsidR="00D72488" w:rsidRPr="008E24F0">
        <w:rPr>
          <w:rFonts w:ascii="Helvetica" w:hAnsi="Helvetica" w:cs="Helvetica"/>
          <w:b/>
          <w:bCs/>
          <w:sz w:val="24"/>
          <w:szCs w:val="24"/>
        </w:rPr>
        <w:t>, efficacy, and</w:t>
      </w:r>
      <w:r w:rsidR="00481137" w:rsidRPr="008E24F0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4F04B1" w:rsidRPr="008E24F0">
        <w:rPr>
          <w:rFonts w:ascii="Helvetica" w:hAnsi="Helvetica" w:cs="Helvetica"/>
          <w:b/>
          <w:bCs/>
          <w:sz w:val="24"/>
          <w:szCs w:val="24"/>
        </w:rPr>
        <w:t>biomarker effects</w:t>
      </w:r>
      <w:r w:rsidRPr="008E24F0">
        <w:rPr>
          <w:rFonts w:ascii="Helvetica" w:hAnsi="Helvetica" w:cs="Helvetica"/>
          <w:b/>
          <w:bCs/>
          <w:sz w:val="24"/>
          <w:szCs w:val="24"/>
        </w:rPr>
        <w:t xml:space="preserve"> of OMT-110 in </w:t>
      </w:r>
      <w:r w:rsidR="004F04B1" w:rsidRPr="008E24F0">
        <w:rPr>
          <w:rFonts w:ascii="Helvetica" w:hAnsi="Helvetica" w:cs="Helvetica"/>
          <w:b/>
          <w:bCs/>
          <w:sz w:val="24"/>
          <w:szCs w:val="24"/>
        </w:rPr>
        <w:t>p</w:t>
      </w:r>
      <w:r w:rsidRPr="008E24F0">
        <w:rPr>
          <w:rFonts w:ascii="Helvetica" w:hAnsi="Helvetica" w:cs="Helvetica"/>
          <w:b/>
          <w:bCs/>
          <w:sz w:val="24"/>
          <w:szCs w:val="24"/>
        </w:rPr>
        <w:t xml:space="preserve">atients </w:t>
      </w:r>
      <w:r w:rsidR="004F04B1" w:rsidRPr="008E24F0">
        <w:rPr>
          <w:rFonts w:ascii="Helvetica" w:hAnsi="Helvetica" w:cs="Helvetica"/>
          <w:b/>
          <w:bCs/>
          <w:sz w:val="24"/>
          <w:szCs w:val="24"/>
        </w:rPr>
        <w:t>w</w:t>
      </w:r>
      <w:r w:rsidRPr="008E24F0">
        <w:rPr>
          <w:rFonts w:ascii="Helvetica" w:hAnsi="Helvetica" w:cs="Helvetica"/>
          <w:b/>
          <w:bCs/>
          <w:sz w:val="24"/>
          <w:szCs w:val="24"/>
        </w:rPr>
        <w:t>ith refractory colorectal cancer.</w:t>
      </w:r>
    </w:p>
    <w:p w14:paraId="326DDEAC" w14:textId="0CD210A9" w:rsidR="001E45DE" w:rsidRPr="008E24F0" w:rsidRDefault="0010719A" w:rsidP="002929FF">
      <w:pPr>
        <w:spacing w:after="0" w:line="480" w:lineRule="auto"/>
        <w:jc w:val="left"/>
        <w:rPr>
          <w:rFonts w:ascii="Helvetica" w:hAnsi="Helvetica" w:cs="Helvetica"/>
          <w:sz w:val="24"/>
          <w:szCs w:val="24"/>
          <w:u w:val="single"/>
        </w:rPr>
      </w:pPr>
      <w:proofErr w:type="spellStart"/>
      <w:r w:rsidRPr="008E24F0">
        <w:rPr>
          <w:rFonts w:ascii="Helvetica" w:hAnsi="Helvetica" w:cs="Helvetica"/>
          <w:b/>
          <w:bCs/>
          <w:sz w:val="24"/>
          <w:szCs w:val="24"/>
          <w:u w:val="single"/>
        </w:rPr>
        <w:t>Haejun</w:t>
      </w:r>
      <w:proofErr w:type="spellEnd"/>
      <w:r w:rsidRPr="008E24F0">
        <w:rPr>
          <w:rFonts w:ascii="Helvetica" w:hAnsi="Helvetica" w:cs="Helvetica"/>
          <w:b/>
          <w:bCs/>
          <w:sz w:val="24"/>
          <w:szCs w:val="24"/>
          <w:u w:val="single"/>
        </w:rPr>
        <w:t xml:space="preserve"> Lee, MD</w:t>
      </w:r>
      <w:r w:rsidRPr="008E24F0">
        <w:rPr>
          <w:rFonts w:ascii="Helvetica" w:hAnsi="Helvetica" w:cs="Helvetica"/>
          <w:b/>
          <w:bCs/>
          <w:sz w:val="24"/>
          <w:szCs w:val="24"/>
          <w:vertAlign w:val="superscript"/>
        </w:rPr>
        <w:t>1</w:t>
      </w:r>
      <w:r w:rsidR="001E45DE" w:rsidRPr="008E24F0">
        <w:rPr>
          <w:rFonts w:ascii="Helvetica" w:hAnsi="Helvetica" w:cs="Helvetica"/>
          <w:sz w:val="24"/>
          <w:szCs w:val="24"/>
        </w:rPr>
        <w:t>,</w:t>
      </w:r>
      <w:r w:rsidRPr="008E24F0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2B5AC4" w:rsidRPr="008E24F0">
        <w:rPr>
          <w:rFonts w:ascii="Helvetica" w:hAnsi="Helvetica" w:cs="Helvetica"/>
          <w:sz w:val="24"/>
          <w:szCs w:val="24"/>
        </w:rPr>
        <w:t>Soobong</w:t>
      </w:r>
      <w:proofErr w:type="spellEnd"/>
      <w:r w:rsidR="002B5AC4" w:rsidRPr="008E24F0">
        <w:rPr>
          <w:rFonts w:ascii="Helvetica" w:hAnsi="Helvetica" w:cs="Helvetica"/>
          <w:sz w:val="24"/>
          <w:szCs w:val="24"/>
        </w:rPr>
        <w:t xml:space="preserve"> Park, PhD</w:t>
      </w:r>
      <w:r w:rsidR="002B5AC4" w:rsidRPr="008E24F0">
        <w:rPr>
          <w:rFonts w:ascii="Helvetica" w:hAnsi="Helvetica" w:cs="Helvetica"/>
          <w:sz w:val="24"/>
          <w:szCs w:val="24"/>
          <w:vertAlign w:val="superscript"/>
        </w:rPr>
        <w:t>2</w:t>
      </w:r>
      <w:r w:rsidR="002B5AC4" w:rsidRPr="008E24F0">
        <w:rPr>
          <w:rFonts w:ascii="Helvetica" w:hAnsi="Helvetica" w:cs="Helvetica"/>
          <w:sz w:val="24"/>
          <w:szCs w:val="24"/>
        </w:rPr>
        <w:t>,</w:t>
      </w:r>
      <w:r w:rsidR="002B5AC4" w:rsidRPr="008E24F0">
        <w:rPr>
          <w:rFonts w:ascii="Helvetica" w:hAnsi="Helvetica" w:cs="Helvetica"/>
          <w:sz w:val="24"/>
          <w:szCs w:val="24"/>
          <w:vertAlign w:val="superscript"/>
        </w:rPr>
        <w:t xml:space="preserve"> </w:t>
      </w:r>
      <w:proofErr w:type="spellStart"/>
      <w:r w:rsidRPr="008E24F0">
        <w:rPr>
          <w:rFonts w:ascii="Helvetica" w:hAnsi="Helvetica" w:cs="Helvetica"/>
          <w:sz w:val="24"/>
          <w:szCs w:val="24"/>
        </w:rPr>
        <w:t>Keun</w:t>
      </w:r>
      <w:proofErr w:type="spellEnd"/>
      <w:r w:rsidRPr="008E24F0">
        <w:rPr>
          <w:rFonts w:ascii="Helvetica" w:hAnsi="Helvetica" w:cs="Helvetica"/>
          <w:sz w:val="24"/>
          <w:szCs w:val="24"/>
        </w:rPr>
        <w:t xml:space="preserve">-Yeong </w:t>
      </w:r>
      <w:proofErr w:type="spellStart"/>
      <w:r w:rsidRPr="008E24F0">
        <w:rPr>
          <w:rFonts w:ascii="Helvetica" w:hAnsi="Helvetica" w:cs="Helvetica"/>
          <w:sz w:val="24"/>
          <w:szCs w:val="24"/>
        </w:rPr>
        <w:t>Jeong</w:t>
      </w:r>
      <w:proofErr w:type="spellEnd"/>
      <w:r w:rsidRPr="008E24F0">
        <w:rPr>
          <w:rFonts w:ascii="Helvetica" w:hAnsi="Helvetica" w:cs="Helvetica"/>
          <w:sz w:val="24"/>
          <w:szCs w:val="24"/>
        </w:rPr>
        <w:t>, PhD</w:t>
      </w:r>
      <w:r w:rsidRPr="008E24F0">
        <w:rPr>
          <w:rFonts w:ascii="Helvetica" w:hAnsi="Helvetica" w:cs="Helvetica"/>
          <w:sz w:val="24"/>
          <w:szCs w:val="24"/>
          <w:vertAlign w:val="superscript"/>
        </w:rPr>
        <w:t>2</w:t>
      </w:r>
      <w:r w:rsidRPr="008E24F0">
        <w:rPr>
          <w:rFonts w:ascii="Helvetica" w:hAnsi="Helvetica" w:cs="Helvetica"/>
          <w:sz w:val="24"/>
          <w:szCs w:val="24"/>
        </w:rPr>
        <w:t>, Chong Hwan Chang, PhD</w:t>
      </w:r>
      <w:r w:rsidRPr="008E24F0">
        <w:rPr>
          <w:rFonts w:ascii="Helvetica" w:hAnsi="Helvetica" w:cs="Helvetica"/>
          <w:sz w:val="24"/>
          <w:szCs w:val="24"/>
          <w:vertAlign w:val="superscript"/>
        </w:rPr>
        <w:t>2</w:t>
      </w:r>
      <w:r w:rsidRPr="008E24F0"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 w:rsidRPr="008E24F0">
        <w:rPr>
          <w:rFonts w:ascii="Helvetica" w:hAnsi="Helvetica" w:cs="Helvetica"/>
          <w:sz w:val="24"/>
          <w:szCs w:val="24"/>
        </w:rPr>
        <w:t>Jeong-Heum</w:t>
      </w:r>
      <w:proofErr w:type="spellEnd"/>
      <w:r w:rsidRPr="008E24F0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Pr="008E24F0">
        <w:rPr>
          <w:rFonts w:ascii="Helvetica" w:hAnsi="Helvetica" w:cs="Helvetica"/>
          <w:sz w:val="24"/>
          <w:szCs w:val="24"/>
        </w:rPr>
        <w:t>Baek</w:t>
      </w:r>
      <w:proofErr w:type="spellEnd"/>
      <w:r w:rsidRPr="008E24F0">
        <w:rPr>
          <w:rFonts w:ascii="Helvetica" w:hAnsi="Helvetica" w:cs="Helvetica"/>
          <w:sz w:val="24"/>
          <w:szCs w:val="24"/>
        </w:rPr>
        <w:t>, MD</w:t>
      </w:r>
      <w:r w:rsidRPr="008E24F0">
        <w:rPr>
          <w:rFonts w:ascii="Helvetica" w:hAnsi="Helvetica" w:cs="Helvetica"/>
          <w:sz w:val="24"/>
          <w:szCs w:val="24"/>
          <w:vertAlign w:val="superscript"/>
        </w:rPr>
        <w:t>3</w:t>
      </w:r>
    </w:p>
    <w:p w14:paraId="3C044C51" w14:textId="2C862932" w:rsidR="001E45DE" w:rsidRPr="008E24F0" w:rsidRDefault="001E45DE" w:rsidP="002929FF">
      <w:pPr>
        <w:widowControl/>
        <w:wordWrap/>
        <w:autoSpaceDE/>
        <w:autoSpaceDN/>
        <w:spacing w:after="0" w:line="480" w:lineRule="auto"/>
        <w:outlineLvl w:val="0"/>
        <w:rPr>
          <w:rFonts w:ascii="Helvetica" w:eastAsia="맑은 고딕" w:hAnsi="Helvetica" w:cs="Helvetica"/>
          <w:kern w:val="0"/>
          <w:sz w:val="24"/>
          <w:szCs w:val="24"/>
        </w:rPr>
      </w:pPr>
      <w:r w:rsidRPr="008E24F0">
        <w:rPr>
          <w:rFonts w:ascii="Helvetica" w:eastAsia="SimSun" w:hAnsi="Helvetica" w:cs="Helvetica"/>
          <w:kern w:val="0"/>
          <w:sz w:val="24"/>
          <w:szCs w:val="24"/>
          <w:vertAlign w:val="superscript"/>
        </w:rPr>
        <w:t>1</w:t>
      </w:r>
      <w:r w:rsidR="0010719A" w:rsidRPr="008E24F0">
        <w:rPr>
          <w:rFonts w:ascii="Helvetica" w:hAnsi="Helvetica" w:cs="Helvetica"/>
        </w:rPr>
        <w:t xml:space="preserve"> </w:t>
      </w:r>
      <w:r w:rsidR="0010719A" w:rsidRPr="008E24F0">
        <w:rPr>
          <w:rFonts w:ascii="Helvetica" w:eastAsia="SimSun" w:hAnsi="Helvetica" w:cs="Helvetica"/>
          <w:kern w:val="0"/>
          <w:sz w:val="24"/>
          <w:szCs w:val="24"/>
        </w:rPr>
        <w:t xml:space="preserve">Department of Nuclear Medicine, Gil Medical Center, </w:t>
      </w:r>
      <w:proofErr w:type="spellStart"/>
      <w:r w:rsidR="0010719A" w:rsidRPr="008E24F0">
        <w:rPr>
          <w:rFonts w:ascii="Helvetica" w:eastAsia="SimSun" w:hAnsi="Helvetica" w:cs="Helvetica"/>
          <w:kern w:val="0"/>
          <w:sz w:val="24"/>
          <w:szCs w:val="24"/>
        </w:rPr>
        <w:t>Gachon</w:t>
      </w:r>
      <w:proofErr w:type="spellEnd"/>
      <w:r w:rsidR="0010719A" w:rsidRPr="008E24F0">
        <w:rPr>
          <w:rFonts w:ascii="Helvetica" w:eastAsia="SimSun" w:hAnsi="Helvetica" w:cs="Helvetica"/>
          <w:kern w:val="0"/>
          <w:sz w:val="24"/>
          <w:szCs w:val="24"/>
        </w:rPr>
        <w:t xml:space="preserve"> University College of Medicine, Incheon, Republic of Korea.</w:t>
      </w:r>
    </w:p>
    <w:p w14:paraId="0BF0A57B" w14:textId="206324FD" w:rsidR="001E45DE" w:rsidRPr="008E24F0" w:rsidRDefault="001E45DE" w:rsidP="002929FF">
      <w:pPr>
        <w:widowControl/>
        <w:wordWrap/>
        <w:autoSpaceDE/>
        <w:autoSpaceDN/>
        <w:spacing w:after="0" w:line="480" w:lineRule="auto"/>
        <w:outlineLvl w:val="0"/>
        <w:rPr>
          <w:rFonts w:ascii="Helvetica" w:eastAsia="SimSun" w:hAnsi="Helvetica" w:cs="Helvetica"/>
          <w:kern w:val="0"/>
          <w:sz w:val="24"/>
          <w:szCs w:val="24"/>
        </w:rPr>
      </w:pPr>
      <w:r w:rsidRPr="008E24F0">
        <w:rPr>
          <w:rFonts w:ascii="Helvetica" w:eastAsia="SimSun" w:hAnsi="Helvetica" w:cs="Helvetica"/>
          <w:kern w:val="0"/>
          <w:sz w:val="24"/>
          <w:szCs w:val="24"/>
          <w:vertAlign w:val="superscript"/>
        </w:rPr>
        <w:t>2</w:t>
      </w:r>
      <w:r w:rsidR="0010719A" w:rsidRPr="008E24F0">
        <w:rPr>
          <w:rFonts w:ascii="Helvetica" w:eastAsia="SimSun" w:hAnsi="Helvetica" w:cs="Helvetica"/>
          <w:kern w:val="0"/>
          <w:sz w:val="24"/>
          <w:szCs w:val="24"/>
        </w:rPr>
        <w:t xml:space="preserve"> </w:t>
      </w:r>
      <w:proofErr w:type="spellStart"/>
      <w:r w:rsidR="0010719A" w:rsidRPr="008E24F0">
        <w:rPr>
          <w:rFonts w:ascii="Helvetica" w:eastAsia="SimSun" w:hAnsi="Helvetica" w:cs="Helvetica"/>
          <w:kern w:val="0"/>
          <w:sz w:val="24"/>
          <w:szCs w:val="24"/>
        </w:rPr>
        <w:t>MetiMedi</w:t>
      </w:r>
      <w:proofErr w:type="spellEnd"/>
      <w:r w:rsidR="0010719A" w:rsidRPr="008E24F0">
        <w:rPr>
          <w:rFonts w:ascii="Helvetica" w:eastAsia="SimSun" w:hAnsi="Helvetica" w:cs="Helvetica"/>
          <w:kern w:val="0"/>
          <w:sz w:val="24"/>
          <w:szCs w:val="24"/>
        </w:rPr>
        <w:t xml:space="preserve"> Pharmaceuticals Co., Research center, Incheon, 22006, Republic of Korea</w:t>
      </w:r>
    </w:p>
    <w:p w14:paraId="25478B32" w14:textId="05E6625F" w:rsidR="004373B0" w:rsidRPr="008E24F0" w:rsidRDefault="0010719A" w:rsidP="002929FF">
      <w:pPr>
        <w:widowControl/>
        <w:wordWrap/>
        <w:autoSpaceDE/>
        <w:autoSpaceDN/>
        <w:spacing w:after="0" w:line="480" w:lineRule="auto"/>
        <w:outlineLvl w:val="0"/>
        <w:rPr>
          <w:rFonts w:ascii="Helvetica" w:eastAsia="SimSun" w:hAnsi="Helvetica" w:cs="Helvetica"/>
          <w:kern w:val="0"/>
          <w:sz w:val="24"/>
          <w:szCs w:val="24"/>
        </w:rPr>
      </w:pPr>
      <w:r w:rsidRPr="008E24F0">
        <w:rPr>
          <w:rFonts w:ascii="Helvetica" w:eastAsia="SimSun" w:hAnsi="Helvetica" w:cs="Helvetica"/>
          <w:kern w:val="0"/>
          <w:sz w:val="24"/>
          <w:szCs w:val="24"/>
          <w:vertAlign w:val="superscript"/>
        </w:rPr>
        <w:t>3</w:t>
      </w:r>
      <w:r w:rsidRPr="008E24F0">
        <w:rPr>
          <w:rFonts w:ascii="Helvetica" w:hAnsi="Helvetica" w:cs="Helvetica"/>
          <w:color w:val="212121"/>
          <w:shd w:val="clear" w:color="auto" w:fill="FFFFFF"/>
        </w:rPr>
        <w:t xml:space="preserve"> </w:t>
      </w:r>
      <w:r w:rsidRPr="008E24F0">
        <w:rPr>
          <w:rFonts w:ascii="Helvetica" w:eastAsia="SimSun" w:hAnsi="Helvetica" w:cs="Helvetica"/>
          <w:kern w:val="0"/>
          <w:sz w:val="24"/>
          <w:szCs w:val="24"/>
        </w:rPr>
        <w:t xml:space="preserve">Division of Colon and Rectal Surgery, Department of Surgery, Gil Medical Center, </w:t>
      </w:r>
      <w:proofErr w:type="spellStart"/>
      <w:r w:rsidRPr="008E24F0">
        <w:rPr>
          <w:rFonts w:ascii="Helvetica" w:eastAsia="SimSun" w:hAnsi="Helvetica" w:cs="Helvetica"/>
          <w:kern w:val="0"/>
          <w:sz w:val="24"/>
          <w:szCs w:val="24"/>
        </w:rPr>
        <w:t>Gachon</w:t>
      </w:r>
      <w:proofErr w:type="spellEnd"/>
      <w:r w:rsidRPr="008E24F0">
        <w:rPr>
          <w:rFonts w:ascii="Helvetica" w:eastAsia="SimSun" w:hAnsi="Helvetica" w:cs="Helvetica"/>
          <w:kern w:val="0"/>
          <w:sz w:val="24"/>
          <w:szCs w:val="24"/>
        </w:rPr>
        <w:t xml:space="preserve"> University College of Medicine, Incheon, Republic of Korea.</w:t>
      </w:r>
    </w:p>
    <w:p w14:paraId="72588258" w14:textId="77777777" w:rsidR="0010719A" w:rsidRPr="0010719A" w:rsidRDefault="0010719A" w:rsidP="00876F2E">
      <w:pPr>
        <w:widowControl/>
        <w:wordWrap/>
        <w:autoSpaceDE/>
        <w:autoSpaceDN/>
        <w:spacing w:after="0" w:line="276" w:lineRule="auto"/>
        <w:outlineLvl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5B643E90" w14:textId="77777777" w:rsidR="00876F2E" w:rsidRDefault="00876F2E" w:rsidP="00876F2E">
      <w:pPr>
        <w:widowControl/>
        <w:wordWrap/>
        <w:autoSpaceDE/>
        <w:autoSpaceDN/>
        <w:spacing w:after="240" w:line="360" w:lineRule="auto"/>
        <w:ind w:right="480"/>
        <w:jc w:val="left"/>
        <w:rPr>
          <w:rFonts w:ascii="Helvetica" w:eastAsia="굴림" w:hAnsi="Helvetica" w:cs="Helvetica"/>
          <w:color w:val="000000"/>
          <w:kern w:val="0"/>
          <w:sz w:val="27"/>
          <w:szCs w:val="27"/>
        </w:rPr>
      </w:pPr>
      <w:bookmarkStart w:id="0" w:name="_Hlk25156238"/>
      <w:proofErr w:type="spellStart"/>
      <w:proofErr w:type="gramStart"/>
      <w:r w:rsidRPr="00876F2E">
        <w:rPr>
          <w:rFonts w:ascii="Helvetica" w:eastAsia="굴림" w:hAnsi="Helvetica" w:cs="Helvetica"/>
          <w:b/>
          <w:bCs/>
          <w:color w:val="000000"/>
          <w:kern w:val="0"/>
          <w:sz w:val="27"/>
          <w:szCs w:val="27"/>
        </w:rPr>
        <w:t>Background:</w:t>
      </w:r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>A</w:t>
      </w:r>
      <w:proofErr w:type="spellEnd"/>
      <w:proofErr w:type="gramEnd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 xml:space="preserve"> metabolism modulatory anticancer </w:t>
      </w:r>
      <w:proofErr w:type="spellStart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>durg</w:t>
      </w:r>
      <w:proofErr w:type="spellEnd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 xml:space="preserve"> candidate, OMT-110, has been applied for phase I clinical trial to evaluate the effect of OMT-110 on safety, efficacy, and biomarker in patients with refractory colorectal cancer resistant to standard therapies. FDG PET-CT has been suggested to be a </w:t>
      </w:r>
      <w:proofErr w:type="spellStart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>resonable</w:t>
      </w:r>
      <w:proofErr w:type="spellEnd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 xml:space="preserve"> biomarker for a metabolism modulator and tested as a possible biomarker for OMT-110 in the clinical trial.</w:t>
      </w:r>
    </w:p>
    <w:p w14:paraId="1AE730E0" w14:textId="77777777" w:rsidR="00876F2E" w:rsidRDefault="00876F2E" w:rsidP="00876F2E">
      <w:pPr>
        <w:widowControl/>
        <w:wordWrap/>
        <w:autoSpaceDE/>
        <w:autoSpaceDN/>
        <w:spacing w:after="240" w:line="360" w:lineRule="auto"/>
        <w:ind w:right="480"/>
        <w:jc w:val="left"/>
        <w:rPr>
          <w:rFonts w:ascii="Helvetica" w:eastAsia="굴림" w:hAnsi="Helvetica" w:cs="Helvetica"/>
          <w:color w:val="000000"/>
          <w:kern w:val="0"/>
          <w:sz w:val="27"/>
          <w:szCs w:val="27"/>
        </w:rPr>
      </w:pPr>
    </w:p>
    <w:p w14:paraId="2664E3B8" w14:textId="2FC104F0" w:rsidR="00876F2E" w:rsidRPr="00876F2E" w:rsidRDefault="00876F2E" w:rsidP="00876F2E">
      <w:pPr>
        <w:widowControl/>
        <w:wordWrap/>
        <w:autoSpaceDE/>
        <w:autoSpaceDN/>
        <w:spacing w:after="240" w:line="360" w:lineRule="auto"/>
        <w:ind w:right="480"/>
        <w:jc w:val="left"/>
        <w:rPr>
          <w:rFonts w:ascii="Helvetica" w:eastAsia="굴림" w:hAnsi="Helvetica" w:cs="Helvetica"/>
          <w:color w:val="000000"/>
          <w:kern w:val="0"/>
          <w:sz w:val="27"/>
          <w:szCs w:val="27"/>
        </w:rPr>
      </w:pPr>
      <w:proofErr w:type="spellStart"/>
      <w:proofErr w:type="gramStart"/>
      <w:r w:rsidRPr="00876F2E">
        <w:rPr>
          <w:rFonts w:ascii="Helvetica" w:eastAsia="굴림" w:hAnsi="Helvetica" w:cs="Helvetica"/>
          <w:b/>
          <w:bCs/>
          <w:color w:val="000000"/>
          <w:kern w:val="0"/>
          <w:sz w:val="27"/>
          <w:szCs w:val="27"/>
        </w:rPr>
        <w:t>Methods:</w:t>
      </w:r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>The</w:t>
      </w:r>
      <w:proofErr w:type="spellEnd"/>
      <w:proofErr w:type="gramEnd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 xml:space="preserve"> study was composed of 4 cohorts with a specified dose of 12.5, 25, 50, and 100 mg, and each cycle consisted of daily subcutaneous injections for 3 consecutive weeks and had a resting period of 1 week. 3 subjects were enrolled in each cohort in a total of 12 patients. FDG-PET/CT was utilized as a biomarker and the </w:t>
      </w:r>
      <w:proofErr w:type="spellStart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>SUV</w:t>
      </w:r>
      <w:r w:rsidRPr="00876F2E">
        <w:rPr>
          <w:rFonts w:ascii="Helvetica" w:eastAsia="굴림" w:hAnsi="Helvetica" w:cs="Helvetica"/>
          <w:color w:val="000000"/>
          <w:kern w:val="0"/>
          <w:szCs w:val="20"/>
          <w:vertAlign w:val="subscript"/>
        </w:rPr>
        <w:t>max</w:t>
      </w:r>
      <w:proofErr w:type="spellEnd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 xml:space="preserve"> was evaluated according to European </w:t>
      </w:r>
      <w:proofErr w:type="spellStart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>Organisation</w:t>
      </w:r>
      <w:proofErr w:type="spellEnd"/>
      <w:r w:rsidRPr="00876F2E">
        <w:rPr>
          <w:rFonts w:ascii="Helvetica" w:eastAsia="굴림" w:hAnsi="Helvetica" w:cs="Helvetica"/>
          <w:color w:val="000000"/>
          <w:kern w:val="0"/>
          <w:sz w:val="27"/>
          <w:szCs w:val="27"/>
        </w:rPr>
        <w:t xml:space="preserve"> for Research and Treatment of Cancer (EORTC) criteria.</w:t>
      </w:r>
    </w:p>
    <w:p w14:paraId="671E1D2A" w14:textId="77777777" w:rsidR="00876F2E" w:rsidRDefault="00876F2E" w:rsidP="00876F2E">
      <w:pPr>
        <w:widowControl/>
        <w:wordWrap/>
        <w:autoSpaceDE/>
        <w:autoSpaceDN/>
        <w:spacing w:after="0" w:line="360" w:lineRule="auto"/>
        <w:outlineLvl w:val="0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1581A787" w14:textId="77777777" w:rsidR="00876F2E" w:rsidRDefault="00876F2E" w:rsidP="00876F2E">
      <w:pPr>
        <w:widowControl/>
        <w:wordWrap/>
        <w:autoSpaceDE/>
        <w:autoSpaceDN/>
        <w:spacing w:after="0" w:line="360" w:lineRule="auto"/>
        <w:outlineLvl w:val="0"/>
        <w:rPr>
          <w:rFonts w:ascii="Helvetica" w:hAnsi="Helvetica" w:cs="Helvetica"/>
          <w:color w:val="000000"/>
          <w:sz w:val="27"/>
          <w:szCs w:val="27"/>
        </w:rPr>
      </w:pPr>
      <w:proofErr w:type="spellStart"/>
      <w:proofErr w:type="gramStart"/>
      <w:r>
        <w:rPr>
          <w:rFonts w:ascii="Helvetica" w:hAnsi="Helvetica" w:cs="Helvetica"/>
          <w:b/>
          <w:bCs/>
          <w:color w:val="000000"/>
          <w:sz w:val="27"/>
          <w:szCs w:val="27"/>
        </w:rPr>
        <w:lastRenderedPageBreak/>
        <w:t>Results:</w:t>
      </w:r>
      <w:r>
        <w:rPr>
          <w:rFonts w:ascii="Helvetica" w:hAnsi="Helvetica" w:cs="Helvetica"/>
          <w:color w:val="000000"/>
          <w:sz w:val="27"/>
          <w:szCs w:val="27"/>
        </w:rPr>
        <w:t>None</w:t>
      </w:r>
      <w:proofErr w:type="spellEnd"/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of the subjects permanently discontinued or reduced the dose of the investigational drug due to dose-limiting toxicity. Serious drug adverse reactions that resulted in permanent discontinuation of investigational drugs were not reported. Biomarker evaluation using FDG-PET/CT revealed that the tumor responses of 9 from total 9 subjects who completed FDG-PET/CT evaluation by Cycle 2 (8 weeks) were stable metabolic disease (SMD) or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higher .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In particular, four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subjects showed a clear tendency for a decrease in glucose transporting and were evaluated by partial metabolic response (PMR). The result was compatible with the response of Chest CT and APCT according to RECIST. </w:t>
      </w:r>
    </w:p>
    <w:p w14:paraId="10A0011B" w14:textId="77777777" w:rsidR="00876F2E" w:rsidRDefault="00876F2E" w:rsidP="00876F2E">
      <w:pPr>
        <w:widowControl/>
        <w:wordWrap/>
        <w:autoSpaceDE/>
        <w:autoSpaceDN/>
        <w:spacing w:after="0" w:line="360" w:lineRule="auto"/>
        <w:outlineLvl w:val="0"/>
        <w:rPr>
          <w:rFonts w:ascii="Helvetica" w:hAnsi="Helvetica" w:cs="Helvetica"/>
          <w:color w:val="000000"/>
          <w:sz w:val="27"/>
          <w:szCs w:val="27"/>
        </w:rPr>
      </w:pPr>
    </w:p>
    <w:p w14:paraId="23089A61" w14:textId="77777777" w:rsidR="00876F2E" w:rsidRDefault="00876F2E" w:rsidP="00876F2E">
      <w:pPr>
        <w:widowControl/>
        <w:wordWrap/>
        <w:autoSpaceDE/>
        <w:autoSpaceDN/>
        <w:spacing w:after="0" w:line="360" w:lineRule="auto"/>
        <w:outlineLvl w:val="0"/>
        <w:rPr>
          <w:rFonts w:ascii="Helvetica" w:hAnsi="Helvetica" w:cs="Helvetica"/>
          <w:color w:val="000000"/>
          <w:sz w:val="27"/>
          <w:szCs w:val="27"/>
        </w:rPr>
      </w:pPr>
      <w:proofErr w:type="spellStart"/>
      <w:proofErr w:type="gramStart"/>
      <w:r>
        <w:rPr>
          <w:rFonts w:ascii="Helvetica" w:hAnsi="Helvetica" w:cs="Helvetica"/>
          <w:b/>
          <w:bCs/>
          <w:color w:val="000000"/>
          <w:sz w:val="27"/>
          <w:szCs w:val="27"/>
        </w:rPr>
        <w:t>Conclusions:</w:t>
      </w:r>
      <w:r>
        <w:rPr>
          <w:rFonts w:ascii="Helvetica" w:hAnsi="Helvetica" w:cs="Helvetica"/>
          <w:color w:val="000000"/>
          <w:sz w:val="27"/>
          <w:szCs w:val="27"/>
        </w:rPr>
        <w:t>In</w:t>
      </w:r>
      <w:proofErr w:type="spellEnd"/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the study, the results of FDG/PET-CT show OMT-110 modulates the cancer-specific metabolism and thus reduces glucose transportation. Based on the study outcome, FDG PET-CT is possibly considered as a biomarker of OMT-110 and further study is warranted.</w:t>
      </w:r>
      <w:bookmarkEnd w:id="0"/>
    </w:p>
    <w:sectPr w:rsidR="00876F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44106" w14:textId="77777777" w:rsidR="00F501D8" w:rsidRDefault="00F501D8" w:rsidP="0010719A">
      <w:pPr>
        <w:spacing w:after="0" w:line="240" w:lineRule="auto"/>
      </w:pPr>
      <w:r>
        <w:separator/>
      </w:r>
    </w:p>
  </w:endnote>
  <w:endnote w:type="continuationSeparator" w:id="0">
    <w:p w14:paraId="16178B1E" w14:textId="77777777" w:rsidR="00F501D8" w:rsidRDefault="00F501D8" w:rsidP="0010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5F982" w14:textId="77777777" w:rsidR="00F501D8" w:rsidRDefault="00F501D8" w:rsidP="0010719A">
      <w:pPr>
        <w:spacing w:after="0" w:line="240" w:lineRule="auto"/>
      </w:pPr>
      <w:r>
        <w:separator/>
      </w:r>
    </w:p>
  </w:footnote>
  <w:footnote w:type="continuationSeparator" w:id="0">
    <w:p w14:paraId="11FA0EE4" w14:textId="77777777" w:rsidR="00F501D8" w:rsidRDefault="00F501D8" w:rsidP="0010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2NrQwMzKwNDMxMDFU0lEKTi0uzszPAykwrgUAEFCW9iwAAAA="/>
  </w:docVars>
  <w:rsids>
    <w:rsidRoot w:val="00624913"/>
    <w:rsid w:val="0001043F"/>
    <w:rsid w:val="00040513"/>
    <w:rsid w:val="000A5AE9"/>
    <w:rsid w:val="000D6206"/>
    <w:rsid w:val="000F4401"/>
    <w:rsid w:val="0010719A"/>
    <w:rsid w:val="001548DB"/>
    <w:rsid w:val="0017401C"/>
    <w:rsid w:val="001C256F"/>
    <w:rsid w:val="001C340D"/>
    <w:rsid w:val="001D2C17"/>
    <w:rsid w:val="001E45DE"/>
    <w:rsid w:val="001F1C52"/>
    <w:rsid w:val="00201780"/>
    <w:rsid w:val="00234B65"/>
    <w:rsid w:val="00235441"/>
    <w:rsid w:val="002723FD"/>
    <w:rsid w:val="00282E0C"/>
    <w:rsid w:val="002929FF"/>
    <w:rsid w:val="002A22DF"/>
    <w:rsid w:val="002B1B22"/>
    <w:rsid w:val="002B2E90"/>
    <w:rsid w:val="002B3CB6"/>
    <w:rsid w:val="002B5AC4"/>
    <w:rsid w:val="002D2545"/>
    <w:rsid w:val="002F6722"/>
    <w:rsid w:val="00316E46"/>
    <w:rsid w:val="00335E20"/>
    <w:rsid w:val="00360406"/>
    <w:rsid w:val="00385BEF"/>
    <w:rsid w:val="003E14D3"/>
    <w:rsid w:val="003E225F"/>
    <w:rsid w:val="004373B0"/>
    <w:rsid w:val="0044647F"/>
    <w:rsid w:val="00447948"/>
    <w:rsid w:val="00447E5C"/>
    <w:rsid w:val="00477C11"/>
    <w:rsid w:val="00481137"/>
    <w:rsid w:val="004914FF"/>
    <w:rsid w:val="004973FE"/>
    <w:rsid w:val="004A376B"/>
    <w:rsid w:val="004B5162"/>
    <w:rsid w:val="004F04B1"/>
    <w:rsid w:val="004F38D1"/>
    <w:rsid w:val="005017F0"/>
    <w:rsid w:val="005053F7"/>
    <w:rsid w:val="005342A7"/>
    <w:rsid w:val="00536737"/>
    <w:rsid w:val="005552C8"/>
    <w:rsid w:val="00590151"/>
    <w:rsid w:val="005A2954"/>
    <w:rsid w:val="005A5D3F"/>
    <w:rsid w:val="005A7649"/>
    <w:rsid w:val="005B30FD"/>
    <w:rsid w:val="005D684A"/>
    <w:rsid w:val="005F053A"/>
    <w:rsid w:val="005F10D8"/>
    <w:rsid w:val="0060011E"/>
    <w:rsid w:val="00601C5E"/>
    <w:rsid w:val="00610567"/>
    <w:rsid w:val="006239D7"/>
    <w:rsid w:val="00624913"/>
    <w:rsid w:val="006308A5"/>
    <w:rsid w:val="006325FF"/>
    <w:rsid w:val="006371B4"/>
    <w:rsid w:val="006660C9"/>
    <w:rsid w:val="00674829"/>
    <w:rsid w:val="006A4ED9"/>
    <w:rsid w:val="006D3810"/>
    <w:rsid w:val="00712413"/>
    <w:rsid w:val="00734FBC"/>
    <w:rsid w:val="00747921"/>
    <w:rsid w:val="00774798"/>
    <w:rsid w:val="007A766F"/>
    <w:rsid w:val="007C2A7E"/>
    <w:rsid w:val="007C4122"/>
    <w:rsid w:val="007E246D"/>
    <w:rsid w:val="007E3E0F"/>
    <w:rsid w:val="007F02B1"/>
    <w:rsid w:val="007F5D29"/>
    <w:rsid w:val="008304C7"/>
    <w:rsid w:val="008557AF"/>
    <w:rsid w:val="00874746"/>
    <w:rsid w:val="00876F2E"/>
    <w:rsid w:val="008B75F2"/>
    <w:rsid w:val="008C4305"/>
    <w:rsid w:val="008E24F0"/>
    <w:rsid w:val="00900044"/>
    <w:rsid w:val="0090625A"/>
    <w:rsid w:val="009130A1"/>
    <w:rsid w:val="00930B25"/>
    <w:rsid w:val="009376C9"/>
    <w:rsid w:val="00946EB5"/>
    <w:rsid w:val="00962C10"/>
    <w:rsid w:val="0098544C"/>
    <w:rsid w:val="009875AB"/>
    <w:rsid w:val="009968CD"/>
    <w:rsid w:val="009B3EBE"/>
    <w:rsid w:val="009E1C92"/>
    <w:rsid w:val="009E7005"/>
    <w:rsid w:val="009F4040"/>
    <w:rsid w:val="00A051D2"/>
    <w:rsid w:val="00A173EF"/>
    <w:rsid w:val="00A37663"/>
    <w:rsid w:val="00A8325A"/>
    <w:rsid w:val="00A9520D"/>
    <w:rsid w:val="00AA50FE"/>
    <w:rsid w:val="00AB490C"/>
    <w:rsid w:val="00AB6AEA"/>
    <w:rsid w:val="00AD27F5"/>
    <w:rsid w:val="00AD6BCA"/>
    <w:rsid w:val="00AE2224"/>
    <w:rsid w:val="00B424F9"/>
    <w:rsid w:val="00B5541B"/>
    <w:rsid w:val="00B95D0C"/>
    <w:rsid w:val="00BB28AE"/>
    <w:rsid w:val="00BE3722"/>
    <w:rsid w:val="00BE3A2A"/>
    <w:rsid w:val="00C24B45"/>
    <w:rsid w:val="00C32C55"/>
    <w:rsid w:val="00C360E7"/>
    <w:rsid w:val="00C462AF"/>
    <w:rsid w:val="00C808BC"/>
    <w:rsid w:val="00C91A53"/>
    <w:rsid w:val="00CA23EB"/>
    <w:rsid w:val="00CC57D7"/>
    <w:rsid w:val="00CD255E"/>
    <w:rsid w:val="00D03734"/>
    <w:rsid w:val="00D325F4"/>
    <w:rsid w:val="00D40F47"/>
    <w:rsid w:val="00D555A7"/>
    <w:rsid w:val="00D72488"/>
    <w:rsid w:val="00DA5364"/>
    <w:rsid w:val="00DD3B83"/>
    <w:rsid w:val="00E23C11"/>
    <w:rsid w:val="00E325E4"/>
    <w:rsid w:val="00E4239C"/>
    <w:rsid w:val="00E56C38"/>
    <w:rsid w:val="00E61CCD"/>
    <w:rsid w:val="00E745C2"/>
    <w:rsid w:val="00EC2225"/>
    <w:rsid w:val="00F501D8"/>
    <w:rsid w:val="00F502A7"/>
    <w:rsid w:val="00F75AE0"/>
    <w:rsid w:val="00F85048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06AFB"/>
  <w15:chartTrackingRefBased/>
  <w15:docId w15:val="{641EFC1B-4394-4888-9086-4182F3E0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876F2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A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C2A7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071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10719A"/>
  </w:style>
  <w:style w:type="paragraph" w:styleId="a5">
    <w:name w:val="footer"/>
    <w:basedOn w:val="a"/>
    <w:link w:val="Char1"/>
    <w:uiPriority w:val="99"/>
    <w:unhideWhenUsed/>
    <w:rsid w:val="0010719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10719A"/>
  </w:style>
  <w:style w:type="character" w:customStyle="1" w:styleId="4Char">
    <w:name w:val="제목 4 Char"/>
    <w:basedOn w:val="a0"/>
    <w:link w:val="4"/>
    <w:uiPriority w:val="9"/>
    <w:rsid w:val="00876F2E"/>
    <w:rPr>
      <w:rFonts w:ascii="굴림" w:eastAsia="굴림" w:hAnsi="굴림" w:cs="굴림"/>
      <w:b/>
      <w:bCs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76F2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76F2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7880">
          <w:marLeft w:val="0"/>
          <w:marRight w:val="4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621">
          <w:marLeft w:val="0"/>
          <w:marRight w:val="0"/>
          <w:marTop w:val="0"/>
          <w:marBottom w:val="5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568">
          <w:marLeft w:val="0"/>
          <w:marRight w:val="4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근영</dc:creator>
  <cp:keywords/>
  <dc:description/>
  <cp:lastModifiedBy>spark198@outlook.kr</cp:lastModifiedBy>
  <cp:revision>2</cp:revision>
  <dcterms:created xsi:type="dcterms:W3CDTF">2020-05-29T02:54:00Z</dcterms:created>
  <dcterms:modified xsi:type="dcterms:W3CDTF">2020-05-29T02:54:00Z</dcterms:modified>
</cp:coreProperties>
</file>